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4373" w14:textId="77777777" w:rsidR="003C7013" w:rsidRDefault="00DC4830" w:rsidP="00B94925">
      <w:pPr>
        <w:tabs>
          <w:tab w:val="left" w:pos="2722"/>
          <w:tab w:val="center" w:pos="4536"/>
        </w:tabs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DC4830">
        <w:rPr>
          <w:rFonts w:asciiTheme="majorBidi" w:hAnsiTheme="majorBidi" w:cstheme="majorBidi"/>
          <w:b/>
          <w:bCs/>
          <w:noProof/>
          <w:sz w:val="28"/>
          <w:szCs w:val="28"/>
          <w:lang w:bidi="ar-TN"/>
        </w:rPr>
        <w:drawing>
          <wp:inline distT="0" distB="0" distL="0" distR="0" wp14:anchorId="5F1E596E" wp14:editId="2A59C7F3">
            <wp:extent cx="714479" cy="753627"/>
            <wp:effectExtent l="19050" t="0" r="9421" b="0"/>
            <wp:docPr id="2" name="Image 1" descr="C:\Users\poste\Desktop\Logo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poste\Desktop\Logo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8" cy="754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            </w:t>
      </w:r>
      <w:r w:rsidR="00B94925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   </w:t>
      </w:r>
      <w:r w:rsidR="00B94925" w:rsidRPr="00B94925">
        <w:rPr>
          <w:rFonts w:asciiTheme="majorBidi" w:hAnsiTheme="majorBidi" w:cstheme="majorBidi"/>
          <w:b/>
          <w:bCs/>
          <w:noProof/>
          <w:sz w:val="28"/>
          <w:szCs w:val="28"/>
          <w:lang w:bidi="ar-TN"/>
        </w:rPr>
        <w:drawing>
          <wp:inline distT="0" distB="0" distL="0" distR="0" wp14:anchorId="515879D6" wp14:editId="4A46E84C">
            <wp:extent cx="835060" cy="723482"/>
            <wp:effectExtent l="19050" t="0" r="3140" b="0"/>
            <wp:docPr id="5" name="Image 2" descr="98INAT~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98INAT~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01" cy="72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925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                     </w:t>
      </w:r>
      <w:r w:rsidR="00B94925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</w:t>
      </w:r>
      <w:r w:rsidRPr="00DC4830">
        <w:rPr>
          <w:rFonts w:asciiTheme="majorBidi" w:hAnsiTheme="majorBidi" w:cstheme="majorBidi"/>
          <w:b/>
          <w:bCs/>
          <w:noProof/>
          <w:sz w:val="28"/>
          <w:szCs w:val="28"/>
          <w:lang w:bidi="ar-TN"/>
        </w:rPr>
        <w:drawing>
          <wp:inline distT="0" distB="0" distL="0" distR="0" wp14:anchorId="1D4A987C" wp14:editId="51C87D9A">
            <wp:extent cx="698082" cy="783772"/>
            <wp:effectExtent l="19050" t="0" r="6768" b="0"/>
            <wp:docPr id="4" name="Image 3" descr="AI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AIA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82" cy="78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7B02" w14:textId="6FB63EA7" w:rsidR="00C40C57" w:rsidRDefault="002D09AA" w:rsidP="00317CE0">
      <w:pPr>
        <w:tabs>
          <w:tab w:val="left" w:pos="2722"/>
          <w:tab w:val="center" w:pos="4536"/>
        </w:tabs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lang w:bidi="ar-TN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74B66" wp14:editId="101E2676">
                <wp:simplePos x="0" y="0"/>
                <wp:positionH relativeFrom="column">
                  <wp:posOffset>-135890</wp:posOffset>
                </wp:positionH>
                <wp:positionV relativeFrom="paragraph">
                  <wp:posOffset>550544</wp:posOffset>
                </wp:positionV>
                <wp:extent cx="6220460" cy="0"/>
                <wp:effectExtent l="0" t="19050" r="889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A9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7pt;margin-top:43.35pt;width:48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" strokecolor="#00b0f0" strokeweight="3pt">
                <v:shadow color="#4e6128 [1606]" opacity=".5" offset="1pt"/>
              </v:shape>
            </w:pict>
          </mc:Fallback>
        </mc:AlternateContent>
      </w:r>
      <w:r w:rsidR="000276EC">
        <w:rPr>
          <w:rFonts w:asciiTheme="majorBidi" w:hAnsiTheme="majorBidi" w:cstheme="majorBidi"/>
          <w:b/>
          <w:bCs/>
          <w:sz w:val="28"/>
          <w:szCs w:val="28"/>
          <w:lang w:bidi="ar-TN"/>
        </w:rPr>
        <w:t>Inno</w:t>
      </w:r>
      <w:r w:rsidR="00DF430E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vation en </w:t>
      </w:r>
      <w:r w:rsidR="00900715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Nutrition Animale : </w:t>
      </w:r>
      <w:r w:rsidR="00381645" w:rsidRPr="002A314C">
        <w:rPr>
          <w:rFonts w:asciiTheme="majorBidi" w:hAnsiTheme="majorBidi" w:cstheme="majorBidi"/>
          <w:b/>
          <w:bCs/>
          <w:sz w:val="28"/>
          <w:szCs w:val="28"/>
          <w:lang w:bidi="ar-TN"/>
        </w:rPr>
        <w:t>Fondamentaux</w:t>
      </w:r>
      <w:r w:rsidR="00900715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et Nouvelles techniques (INRA, 2019)</w:t>
      </w:r>
    </w:p>
    <w:p w14:paraId="723BA23D" w14:textId="77777777" w:rsidR="00DC4830" w:rsidRPr="00DC4830" w:rsidRDefault="00DC4830" w:rsidP="00DF430E">
      <w:pPr>
        <w:spacing w:before="120"/>
        <w:jc w:val="center"/>
        <w:rPr>
          <w:rFonts w:asciiTheme="majorBidi" w:hAnsiTheme="majorBidi" w:cstheme="majorBidi"/>
          <w:b/>
          <w:bCs/>
          <w:color w:val="0070C0"/>
          <w:sz w:val="2"/>
          <w:szCs w:val="2"/>
          <w:lang w:bidi="ar-TN"/>
        </w:rPr>
      </w:pPr>
    </w:p>
    <w:p w14:paraId="74CBE5EF" w14:textId="77777777" w:rsidR="00DF430E" w:rsidRDefault="00DF430E" w:rsidP="00DF430E">
      <w:pPr>
        <w:spacing w:before="120"/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2A314C">
        <w:rPr>
          <w:rFonts w:asciiTheme="majorBidi" w:hAnsiTheme="majorBidi" w:cstheme="majorBidi"/>
          <w:b/>
          <w:bCs/>
          <w:color w:val="0070C0"/>
          <w:sz w:val="28"/>
          <w:szCs w:val="28"/>
          <w:lang w:bidi="ar-TN"/>
        </w:rPr>
        <w:t>Programme de la formation</w:t>
      </w:r>
      <w:r w:rsidR="00F43133">
        <w:rPr>
          <w:rFonts w:asciiTheme="majorBidi" w:hAnsiTheme="majorBidi" w:cstheme="majorBidi"/>
          <w:b/>
          <w:bCs/>
          <w:color w:val="0070C0"/>
          <w:sz w:val="28"/>
          <w:szCs w:val="28"/>
          <w:lang w:bidi="ar-TN"/>
        </w:rPr>
        <w:t xml:space="preserve"> en ligne</w:t>
      </w:r>
    </w:p>
    <w:p w14:paraId="4D40F1B1" w14:textId="77777777" w:rsidR="00381645" w:rsidRPr="002A314C" w:rsidRDefault="00381645">
      <w:p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2A314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Contexte</w:t>
      </w:r>
    </w:p>
    <w:p w14:paraId="4F84F47B" w14:textId="77777777" w:rsidR="00381645" w:rsidRPr="002A314C" w:rsidRDefault="00696042" w:rsidP="00900715">
      <w:pPr>
        <w:spacing w:after="1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L'alimentation animale est </w:t>
      </w:r>
      <w:r w:rsidR="00381645"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une composante</w:t>
      </w:r>
      <w:r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essentielle de l'élevage, </w:t>
      </w:r>
      <w:r w:rsidR="00381645"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elle est en interaction avec l'environnement, </w:t>
      </w:r>
      <w:r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et connait une évolution permanente.</w:t>
      </w:r>
      <w:r w:rsidR="0090071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04C32"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La compréhension </w:t>
      </w:r>
      <w:r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des fondements </w:t>
      </w:r>
      <w:r w:rsidR="00B04C32"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de cette discipline </w:t>
      </w:r>
      <w:r w:rsidRPr="002A31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et la maîtrise des innovations scientifiques et techniques sont nécessaires pour optimiser les systèmes d’alimentation.</w:t>
      </w:r>
    </w:p>
    <w:p w14:paraId="3AA40314" w14:textId="77777777" w:rsidR="00760014" w:rsidRPr="002A314C" w:rsidRDefault="00760014" w:rsidP="00DF430E">
      <w:pPr>
        <w:jc w:val="center"/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</w:pPr>
      <w:r w:rsidRPr="002A314C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Dans ce cadre,</w:t>
      </w:r>
      <w:r w:rsidR="00DF430E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le Centre Régional </w:t>
      </w:r>
      <w:r w:rsidR="00C6126F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de formation en fabrication des aliments composés en collaboration avec</w:t>
      </w:r>
      <w:r w:rsidRPr="002A314C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l’Association des Ingénieurs Agronomes </w:t>
      </w:r>
      <w:r w:rsidR="00696042" w:rsidRPr="002A314C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organise un</w:t>
      </w:r>
      <w:r w:rsidR="0069788A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e</w:t>
      </w:r>
      <w:r w:rsidR="00696042" w:rsidRPr="002A314C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session de </w:t>
      </w:r>
      <w:r w:rsidR="00C6126F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formation en ligne en Nutrition Animale</w:t>
      </w:r>
      <w:r w:rsidR="00DF430E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du</w:t>
      </w:r>
      <w:r w:rsidR="00E60A5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03 </w:t>
      </w:r>
      <w:r w:rsidR="00DF430E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au</w:t>
      </w:r>
      <w:r w:rsidR="00E60A5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05 Mars </w:t>
      </w:r>
      <w:r w:rsidR="002F3749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2021</w:t>
      </w:r>
      <w:r w:rsidRPr="002A314C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</w:t>
      </w:r>
    </w:p>
    <w:p w14:paraId="4116DB6D" w14:textId="77777777" w:rsidR="000F4B4E" w:rsidRPr="00DC4830" w:rsidRDefault="000F4B4E" w:rsidP="00DC4830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/>
          <w:sz w:val="2"/>
          <w:szCs w:val="2"/>
          <w:shd w:val="clear" w:color="auto" w:fill="FFFFFF"/>
        </w:rPr>
      </w:pPr>
    </w:p>
    <w:p w14:paraId="24ECB12D" w14:textId="77777777" w:rsidR="005737B6" w:rsidRPr="002A314C" w:rsidRDefault="005737B6" w:rsidP="008945FF">
      <w:p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2A314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Formateur</w:t>
      </w:r>
      <w:r w:rsidR="00DC483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s</w:t>
      </w:r>
      <w:r w:rsidR="008945FF" w:rsidRPr="002A314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 : </w:t>
      </w:r>
      <w:r w:rsidR="000C59B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Pr. Taha NAJAR</w:t>
      </w:r>
      <w:r w:rsidR="00C6126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, Dr.</w:t>
      </w:r>
      <w:r w:rsidRPr="002A314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126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Imene BELHADJ SLI</w:t>
      </w:r>
      <w:r w:rsidR="00403F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</w:t>
      </w:r>
      <w:r w:rsidR="00C6126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EN</w:t>
      </w:r>
    </w:p>
    <w:p w14:paraId="2755D740" w14:textId="77777777" w:rsidR="005737B6" w:rsidRDefault="005737B6" w:rsidP="00DF430E">
      <w:pPr>
        <w:spacing w:after="12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2A314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Information et Inscription</w:t>
      </w:r>
      <w:r w:rsidR="008945FF" w:rsidRPr="002A314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="008945FF" w:rsidRPr="002A314C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03CC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Mail :</w:t>
      </w:r>
      <w:r w:rsidR="00585A6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03CC3" w:rsidRPr="00602706">
        <w:rPr>
          <w:rFonts w:asciiTheme="majorBidi" w:hAnsiTheme="majorBidi" w:cstheme="majorBidi"/>
          <w:i/>
          <w:iCs/>
          <w:color w:val="0070C0"/>
          <w:sz w:val="24"/>
          <w:szCs w:val="24"/>
          <w:u w:val="single"/>
          <w:shd w:val="clear" w:color="auto" w:fill="FFFFFF"/>
        </w:rPr>
        <w:t>aia.formations.tn@gmail.com</w:t>
      </w:r>
      <w:r w:rsidR="00602706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03CC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32F8C2B" w14:textId="77777777" w:rsidR="00C40C57" w:rsidRPr="00C40C57" w:rsidRDefault="00171961" w:rsidP="003C7013">
      <w:pPr>
        <w:spacing w:after="1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Frais de participation : 25</w:t>
      </w:r>
      <w:r w:rsidR="00387095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0 DT (environ 75 </w:t>
      </w:r>
      <w:r w:rsidR="00C6126F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Euro)</w:t>
      </w:r>
    </w:p>
    <w:p w14:paraId="7220FFE5" w14:textId="77777777" w:rsidR="00760014" w:rsidRPr="002A314C" w:rsidRDefault="009B26F9" w:rsidP="00653A77">
      <w:pPr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Progr</w:t>
      </w:r>
      <w:r w:rsidRPr="002A314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amme</w:t>
      </w:r>
      <w:r w:rsidR="000C59B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(Horaire GMT+1)</w:t>
      </w:r>
    </w:p>
    <w:p w14:paraId="7705EFD2" w14:textId="77777777" w:rsidR="00B42EF6" w:rsidRPr="002D09AA" w:rsidRDefault="00760014" w:rsidP="001F2FB4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</w:pPr>
      <w:r w:rsidRPr="002D09AA">
        <w:rPr>
          <w:rFonts w:asciiTheme="majorBidi" w:hAnsiTheme="majorBidi" w:cstheme="majorBidi"/>
          <w:color w:val="984806" w:themeColor="accent6" w:themeShade="80"/>
          <w:shd w:val="clear" w:color="auto" w:fill="FFFFFF"/>
        </w:rPr>
        <w:t xml:space="preserve"> </w:t>
      </w:r>
      <w:r w:rsidR="00C40C57" w:rsidRPr="002D09AA">
        <w:rPr>
          <w:rFonts w:asciiTheme="majorBidi" w:hAnsiTheme="majorBidi" w:cstheme="majorBidi"/>
          <w:b/>
          <w:bCs/>
          <w:i/>
          <w:iCs/>
          <w:color w:val="984806" w:themeColor="accent6" w:themeShade="80"/>
          <w:shd w:val="clear" w:color="auto" w:fill="FFFFFF"/>
        </w:rPr>
        <w:t xml:space="preserve">03 Mars </w:t>
      </w:r>
      <w:r w:rsidR="001F2FB4" w:rsidRPr="002D09AA">
        <w:rPr>
          <w:rFonts w:asciiTheme="majorBidi" w:hAnsiTheme="majorBidi" w:cstheme="majorBidi"/>
          <w:b/>
          <w:bCs/>
          <w:i/>
          <w:iCs/>
          <w:color w:val="984806" w:themeColor="accent6" w:themeShade="80"/>
          <w:shd w:val="clear" w:color="auto" w:fill="FFFFFF"/>
        </w:rPr>
        <w:t>2021</w:t>
      </w:r>
      <w:r w:rsidRPr="002D09AA"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  <w:t> </w:t>
      </w:r>
    </w:p>
    <w:p w14:paraId="39CE4067" w14:textId="1C98868E" w:rsidR="0069788A" w:rsidRPr="002D09AA" w:rsidRDefault="000C59BB" w:rsidP="002D09AA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9h</w:t>
      </w:r>
      <w:r w:rsidR="00B42EF6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-10h30 : </w:t>
      </w:r>
      <w:r w:rsidR="001F2FB4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P</w:t>
      </w: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résentation du programme, Introduction</w:t>
      </w:r>
    </w:p>
    <w:p w14:paraId="0F3DE41A" w14:textId="18675FDA" w:rsidR="002D09AA" w:rsidRPr="002D09AA" w:rsidRDefault="002D09AA" w:rsidP="002D09AA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10h 45 -12h15</w:t>
      </w: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 : Evolution des m</w:t>
      </w: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éthodes d’étude des réponses des animaux</w:t>
      </w:r>
    </w:p>
    <w:p w14:paraId="0ED980DC" w14:textId="33CE4C8A" w:rsidR="00B42EF6" w:rsidRPr="002D09AA" w:rsidRDefault="000C59BB" w:rsidP="002D09AA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i/>
          <w:iCs/>
          <w:shd w:val="clear" w:color="auto" w:fill="FFFFFF"/>
        </w:rPr>
        <w:t xml:space="preserve">Pause </w:t>
      </w:r>
      <w:r w:rsidR="00B42EF6" w:rsidRPr="002D09AA">
        <w:rPr>
          <w:rFonts w:asciiTheme="majorBidi" w:hAnsiTheme="majorBidi" w:cstheme="majorBidi"/>
          <w:b/>
          <w:bCs/>
          <w:i/>
          <w:iCs/>
          <w:shd w:val="clear" w:color="auto" w:fill="FFFFFF"/>
        </w:rPr>
        <w:t xml:space="preserve">Déjeuner </w:t>
      </w:r>
    </w:p>
    <w:p w14:paraId="493130F1" w14:textId="22D17C40" w:rsidR="0022354C" w:rsidRPr="002D09AA" w:rsidRDefault="00B42EF6" w:rsidP="0022354C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13h30 – 15h : </w:t>
      </w:r>
      <w:r w:rsidR="0022354C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Besoins  et apport énergétiques des animaux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, 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Prise en compte des interactions digestives</w:t>
      </w:r>
    </w:p>
    <w:p w14:paraId="2E3F9158" w14:textId="77777777" w:rsidR="002D09AA" w:rsidRPr="002D09AA" w:rsidRDefault="0022354C" w:rsidP="002D09AA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15h15- 16h30</w:t>
      </w:r>
      <w:r w:rsidR="00B42EF6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 :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 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Ingestion et Consommation alimentaire</w:t>
      </w:r>
    </w:p>
    <w:p w14:paraId="59EE89DE" w14:textId="77777777" w:rsidR="003C7013" w:rsidRPr="002D09AA" w:rsidRDefault="003C7013" w:rsidP="003C7013">
      <w:pPr>
        <w:pStyle w:val="Paragraphedeliste"/>
        <w:spacing w:after="0"/>
        <w:ind w:left="799"/>
        <w:jc w:val="both"/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</w:pPr>
    </w:p>
    <w:p w14:paraId="2F2BF3AC" w14:textId="77777777" w:rsidR="00760014" w:rsidRPr="002D09AA" w:rsidRDefault="00C40C57" w:rsidP="0069788A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  <w:t>04 Mars</w:t>
      </w:r>
      <w:r w:rsidR="0022354C" w:rsidRPr="002D09AA"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  <w:t xml:space="preserve"> 2021</w:t>
      </w:r>
      <w:r w:rsidR="00760014" w:rsidRPr="002D09AA"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  <w:t> </w:t>
      </w:r>
    </w:p>
    <w:p w14:paraId="442FE826" w14:textId="4E69732D" w:rsidR="0090098D" w:rsidRPr="002D09AA" w:rsidRDefault="0090098D" w:rsidP="002D09AA">
      <w:pPr>
        <w:pStyle w:val="Paragraphedeliste"/>
        <w:numPr>
          <w:ilvl w:val="0"/>
          <w:numId w:val="7"/>
        </w:numPr>
        <w:spacing w:after="0"/>
        <w:ind w:left="1321" w:hanging="357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9h-10h30 :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 Importance du transit digestif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 </w:t>
      </w:r>
    </w:p>
    <w:p w14:paraId="7CE9CB66" w14:textId="11D4FDB4" w:rsidR="002A314C" w:rsidRPr="002D09AA" w:rsidRDefault="0090098D" w:rsidP="00E123CC">
      <w:pPr>
        <w:pStyle w:val="Paragraphedeliste"/>
        <w:numPr>
          <w:ilvl w:val="0"/>
          <w:numId w:val="7"/>
        </w:numPr>
        <w:spacing w:after="0"/>
        <w:ind w:left="1321" w:hanging="357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10h45 -12h15 : 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Systèmes d’alimentation protéique</w:t>
      </w:r>
    </w:p>
    <w:p w14:paraId="302D00D7" w14:textId="77777777" w:rsidR="00D53C04" w:rsidRPr="002D09AA" w:rsidRDefault="00D53C04" w:rsidP="00D53C04">
      <w:pPr>
        <w:spacing w:after="0"/>
        <w:jc w:val="both"/>
        <w:rPr>
          <w:rFonts w:asciiTheme="majorBidi" w:hAnsiTheme="majorBidi" w:cstheme="majorBidi"/>
          <w:b/>
          <w:bCs/>
          <w:i/>
          <w:iCs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i/>
          <w:iCs/>
          <w:shd w:val="clear" w:color="auto" w:fill="FFFFFF"/>
        </w:rPr>
        <w:t xml:space="preserve">Pause Déjeuner </w:t>
      </w:r>
    </w:p>
    <w:p w14:paraId="49860A74" w14:textId="088B77AD" w:rsidR="002A314C" w:rsidRPr="002D09AA" w:rsidRDefault="008B3715" w:rsidP="00E123CC">
      <w:pPr>
        <w:pStyle w:val="Paragraphedeliste"/>
        <w:numPr>
          <w:ilvl w:val="0"/>
          <w:numId w:val="7"/>
        </w:numPr>
        <w:spacing w:after="0"/>
        <w:ind w:left="1321" w:hanging="357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13h30 -15h</w:t>
      </w:r>
      <w:r w:rsidR="0090098D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 : </w:t>
      </w:r>
      <w:r w:rsidR="00E123CC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Méthodes d’analyse 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et de prévision de la valeur nutritive </w:t>
      </w:r>
      <w:r w:rsidR="00E123CC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des aliments </w:t>
      </w:r>
    </w:p>
    <w:p w14:paraId="364BCF85" w14:textId="697AEB52" w:rsidR="002A314C" w:rsidRPr="002D09AA" w:rsidRDefault="00D53C04" w:rsidP="00D53C04">
      <w:pPr>
        <w:pStyle w:val="Paragraphedeliste"/>
        <w:numPr>
          <w:ilvl w:val="0"/>
          <w:numId w:val="7"/>
        </w:numPr>
        <w:spacing w:after="120"/>
        <w:ind w:left="1321" w:hanging="357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15h15 -16h30</w:t>
      </w:r>
      <w:r w:rsidR="0090098D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 :</w:t>
      </w:r>
      <w:r w:rsidR="00E123CC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 Valorisation</w:t>
      </w:r>
      <w:r w:rsidR="002D09AA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s</w:t>
      </w:r>
      <w:r w:rsidR="00E123CC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 et applications</w:t>
      </w:r>
    </w:p>
    <w:p w14:paraId="1564F0D1" w14:textId="77777777" w:rsidR="003C7013" w:rsidRPr="002D09AA" w:rsidRDefault="003C7013" w:rsidP="003C7013">
      <w:pPr>
        <w:pStyle w:val="Paragraphedeliste"/>
        <w:spacing w:after="0"/>
        <w:ind w:left="799"/>
        <w:jc w:val="both"/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</w:pPr>
    </w:p>
    <w:p w14:paraId="5C77510C" w14:textId="77777777" w:rsidR="00C11900" w:rsidRPr="002D09AA" w:rsidRDefault="003C7013" w:rsidP="00C11900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  <w:t>05 Mars</w:t>
      </w:r>
      <w:r w:rsidR="00C11900" w:rsidRPr="002D09AA">
        <w:rPr>
          <w:rFonts w:asciiTheme="majorBidi" w:hAnsiTheme="majorBidi" w:cstheme="majorBidi"/>
          <w:b/>
          <w:bCs/>
          <w:color w:val="984806" w:themeColor="accent6" w:themeShade="80"/>
          <w:shd w:val="clear" w:color="auto" w:fill="FFFFFF"/>
        </w:rPr>
        <w:t xml:space="preserve"> 2021 </w:t>
      </w:r>
    </w:p>
    <w:p w14:paraId="686D325E" w14:textId="77777777" w:rsidR="002F3749" w:rsidRPr="002D09AA" w:rsidRDefault="002F3749" w:rsidP="002F3749">
      <w:pPr>
        <w:pStyle w:val="Paragraphedeliste"/>
        <w:numPr>
          <w:ilvl w:val="0"/>
          <w:numId w:val="9"/>
        </w:numPr>
        <w:spacing w:after="120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>9h-10h30 : Pratiques de Rationnement</w:t>
      </w:r>
    </w:p>
    <w:p w14:paraId="40322766" w14:textId="77777777" w:rsidR="002A314C" w:rsidRPr="002D09AA" w:rsidRDefault="00171961" w:rsidP="00C40C57">
      <w:pPr>
        <w:pStyle w:val="Paragraphedeliste"/>
        <w:numPr>
          <w:ilvl w:val="0"/>
          <w:numId w:val="9"/>
        </w:numPr>
        <w:spacing w:after="120"/>
        <w:jc w:val="both"/>
        <w:rPr>
          <w:rFonts w:asciiTheme="majorBidi" w:hAnsiTheme="majorBidi" w:cstheme="majorBidi"/>
          <w:b/>
          <w:bCs/>
          <w:color w:val="0070C0"/>
          <w:shd w:val="clear" w:color="auto" w:fill="FFFFFF"/>
        </w:rPr>
      </w:pPr>
      <w:r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Clôture </w:t>
      </w:r>
      <w:r w:rsidR="002F3749" w:rsidRPr="002D09AA">
        <w:rPr>
          <w:rFonts w:asciiTheme="majorBidi" w:hAnsiTheme="majorBidi" w:cstheme="majorBidi"/>
          <w:b/>
          <w:bCs/>
          <w:color w:val="0070C0"/>
          <w:shd w:val="clear" w:color="auto" w:fill="FFFFFF"/>
        </w:rPr>
        <w:t xml:space="preserve"> </w:t>
      </w:r>
    </w:p>
    <w:sectPr w:rsidR="002A314C" w:rsidRPr="002D09AA" w:rsidSect="00317CE0">
      <w:headerReference w:type="default" r:id="rId10"/>
      <w:pgSz w:w="11906" w:h="16838"/>
      <w:pgMar w:top="680" w:right="1418" w:bottom="1418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95F4" w14:textId="77777777" w:rsidR="00EE34B9" w:rsidRDefault="00EE34B9" w:rsidP="00317CE0">
      <w:pPr>
        <w:spacing w:after="0" w:line="240" w:lineRule="auto"/>
      </w:pPr>
      <w:r>
        <w:separator/>
      </w:r>
    </w:p>
  </w:endnote>
  <w:endnote w:type="continuationSeparator" w:id="0">
    <w:p w14:paraId="443FCF10" w14:textId="77777777" w:rsidR="00EE34B9" w:rsidRDefault="00EE34B9" w:rsidP="0031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5396" w14:textId="77777777" w:rsidR="00EE34B9" w:rsidRDefault="00EE34B9" w:rsidP="00317CE0">
      <w:pPr>
        <w:spacing w:after="0" w:line="240" w:lineRule="auto"/>
      </w:pPr>
      <w:r>
        <w:separator/>
      </w:r>
    </w:p>
  </w:footnote>
  <w:footnote w:type="continuationSeparator" w:id="0">
    <w:p w14:paraId="67360BC6" w14:textId="77777777" w:rsidR="00EE34B9" w:rsidRDefault="00EE34B9" w:rsidP="0031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7BED" w14:textId="77777777" w:rsidR="00317CE0" w:rsidRPr="00317CE0" w:rsidRDefault="00317CE0" w:rsidP="00317CE0">
    <w:pPr>
      <w:jc w:val="center"/>
      <w:rPr>
        <w:rFonts w:ascii="Lucida Calligraphy" w:hAnsi="Lucida Calligraphy"/>
        <w:b/>
        <w:bCs/>
        <w:color w:val="403152" w:themeColor="accent4" w:themeShade="80"/>
        <w:sz w:val="24"/>
        <w:szCs w:val="24"/>
      </w:rPr>
    </w:pPr>
    <w:r w:rsidRPr="00317CE0">
      <w:rPr>
        <w:rFonts w:ascii="Lucida Calligraphy" w:hAnsi="Lucida Calligraphy"/>
        <w:b/>
        <w:bCs/>
        <w:color w:val="403152" w:themeColor="accent4" w:themeShade="80"/>
        <w:sz w:val="24"/>
        <w:szCs w:val="24"/>
      </w:rPr>
      <w:t>Formation en Innovation en Nutrition Animale 3-5 Mars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0C98"/>
    <w:multiLevelType w:val="hybridMultilevel"/>
    <w:tmpl w:val="08C8648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F65468"/>
    <w:multiLevelType w:val="hybridMultilevel"/>
    <w:tmpl w:val="976CA32E"/>
    <w:lvl w:ilvl="0" w:tplc="BF5CD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9CD"/>
    <w:multiLevelType w:val="hybridMultilevel"/>
    <w:tmpl w:val="B6904528"/>
    <w:lvl w:ilvl="0" w:tplc="040C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2B3709A"/>
    <w:multiLevelType w:val="hybridMultilevel"/>
    <w:tmpl w:val="540847C8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103DEB"/>
    <w:multiLevelType w:val="hybridMultilevel"/>
    <w:tmpl w:val="38E2C3AE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36657FA9"/>
    <w:multiLevelType w:val="hybridMultilevel"/>
    <w:tmpl w:val="AAE4A044"/>
    <w:lvl w:ilvl="0" w:tplc="A7F054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44D1D"/>
    <w:multiLevelType w:val="hybridMultilevel"/>
    <w:tmpl w:val="52CA727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2C91"/>
    <w:multiLevelType w:val="hybridMultilevel"/>
    <w:tmpl w:val="F06C0CB0"/>
    <w:lvl w:ilvl="0" w:tplc="040C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8" w15:restartNumberingAfterBreak="0">
    <w:nsid w:val="652E4F28"/>
    <w:multiLevelType w:val="multilevel"/>
    <w:tmpl w:val="CF3CF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5"/>
    <w:rsid w:val="00007EEA"/>
    <w:rsid w:val="000276EC"/>
    <w:rsid w:val="000624A2"/>
    <w:rsid w:val="00065C7A"/>
    <w:rsid w:val="000C253E"/>
    <w:rsid w:val="000C59BB"/>
    <w:rsid w:val="000F1A6E"/>
    <w:rsid w:val="000F4B4E"/>
    <w:rsid w:val="00105907"/>
    <w:rsid w:val="00171961"/>
    <w:rsid w:val="001B0CD5"/>
    <w:rsid w:val="001F2FB4"/>
    <w:rsid w:val="002224CB"/>
    <w:rsid w:val="0022354C"/>
    <w:rsid w:val="002872B4"/>
    <w:rsid w:val="00293EE9"/>
    <w:rsid w:val="002A314C"/>
    <w:rsid w:val="002D09AA"/>
    <w:rsid w:val="002F3749"/>
    <w:rsid w:val="00317CE0"/>
    <w:rsid w:val="00330B1B"/>
    <w:rsid w:val="003315C7"/>
    <w:rsid w:val="00381645"/>
    <w:rsid w:val="00387095"/>
    <w:rsid w:val="003C7013"/>
    <w:rsid w:val="00403CC3"/>
    <w:rsid w:val="00403FF5"/>
    <w:rsid w:val="0042052C"/>
    <w:rsid w:val="00440199"/>
    <w:rsid w:val="00492AA4"/>
    <w:rsid w:val="0052296D"/>
    <w:rsid w:val="005737B6"/>
    <w:rsid w:val="00585A64"/>
    <w:rsid w:val="005C668E"/>
    <w:rsid w:val="005C6CD7"/>
    <w:rsid w:val="005E7C0A"/>
    <w:rsid w:val="00602706"/>
    <w:rsid w:val="00653A77"/>
    <w:rsid w:val="00675FC5"/>
    <w:rsid w:val="00696042"/>
    <w:rsid w:val="0069788A"/>
    <w:rsid w:val="006F2AFC"/>
    <w:rsid w:val="00715734"/>
    <w:rsid w:val="00733701"/>
    <w:rsid w:val="00760014"/>
    <w:rsid w:val="008945FF"/>
    <w:rsid w:val="008A58AB"/>
    <w:rsid w:val="008B3715"/>
    <w:rsid w:val="008E12E5"/>
    <w:rsid w:val="008E591A"/>
    <w:rsid w:val="008F6023"/>
    <w:rsid w:val="00900715"/>
    <w:rsid w:val="0090098D"/>
    <w:rsid w:val="0093351F"/>
    <w:rsid w:val="009B26F9"/>
    <w:rsid w:val="009D405D"/>
    <w:rsid w:val="00AB4887"/>
    <w:rsid w:val="00B04C32"/>
    <w:rsid w:val="00B42EF6"/>
    <w:rsid w:val="00B94402"/>
    <w:rsid w:val="00B94925"/>
    <w:rsid w:val="00BE2CD1"/>
    <w:rsid w:val="00C050A9"/>
    <w:rsid w:val="00C11900"/>
    <w:rsid w:val="00C40C57"/>
    <w:rsid w:val="00C46B16"/>
    <w:rsid w:val="00C6126F"/>
    <w:rsid w:val="00C93759"/>
    <w:rsid w:val="00D22086"/>
    <w:rsid w:val="00D32494"/>
    <w:rsid w:val="00D53C04"/>
    <w:rsid w:val="00DC4830"/>
    <w:rsid w:val="00DD7798"/>
    <w:rsid w:val="00DF430E"/>
    <w:rsid w:val="00E123CC"/>
    <w:rsid w:val="00E14507"/>
    <w:rsid w:val="00E60A52"/>
    <w:rsid w:val="00EE34B9"/>
    <w:rsid w:val="00F43133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9B1C"/>
  <w15:docId w15:val="{474F23E7-D8F1-430D-AC66-A55BFDE1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E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37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8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1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7CE0"/>
  </w:style>
  <w:style w:type="paragraph" w:styleId="Pieddepage">
    <w:name w:val="footer"/>
    <w:basedOn w:val="Normal"/>
    <w:link w:val="PieddepageCar"/>
    <w:uiPriority w:val="99"/>
    <w:semiHidden/>
    <w:unhideWhenUsed/>
    <w:rsid w:val="0031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Taha NAJAR</cp:lastModifiedBy>
  <cp:revision>2</cp:revision>
  <dcterms:created xsi:type="dcterms:W3CDTF">2021-02-04T09:43:00Z</dcterms:created>
  <dcterms:modified xsi:type="dcterms:W3CDTF">2021-02-04T09:43:00Z</dcterms:modified>
</cp:coreProperties>
</file>